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2C48" w:rsidRPr="004B7E17" w:rsidRDefault="002D2C48" w:rsidP="002D2C48">
      <w:pPr>
        <w:widowControl w:val="0"/>
        <w:tabs>
          <w:tab w:val="right" w:pos="9639"/>
          <w:tab w:val="right" w:pos="13323"/>
        </w:tabs>
        <w:spacing w:after="0"/>
        <w:rPr>
          <w:rFonts w:ascii="Arial" w:hAnsi="Arial" w:cs="Arial"/>
          <w:b/>
          <w:noProof/>
          <w:sz w:val="24"/>
          <w:szCs w:val="24"/>
          <w:lang w:val="en-US" w:eastAsia="ja-JP"/>
        </w:rPr>
      </w:pPr>
      <w:r>
        <w:rPr>
          <w:b/>
          <w:noProof/>
          <w:sz w:val="24"/>
        </w:rPr>
        <w:t>3GPP TSG-RAN4 Meeting #84bis</w:t>
      </w:r>
      <w:r w:rsidRPr="004B7E17">
        <w:rPr>
          <w:rFonts w:ascii="Arial" w:hAnsi="Arial" w:cs="Arial"/>
          <w:b/>
          <w:noProof/>
          <w:sz w:val="24"/>
          <w:szCs w:val="24"/>
          <w:lang w:val="en-US"/>
        </w:rPr>
        <w:tab/>
      </w:r>
      <w:r w:rsidR="00C75DA2">
        <w:rPr>
          <w:rFonts w:ascii="Arial" w:hAnsi="Arial" w:cs="Arial"/>
          <w:b/>
          <w:bCs/>
          <w:color w:val="808080"/>
          <w:sz w:val="26"/>
          <w:szCs w:val="26"/>
        </w:rPr>
        <w:t>R4-1710622</w:t>
      </w:r>
    </w:p>
    <w:p w:rsidR="002D2C48" w:rsidRDefault="002D2C48" w:rsidP="002D2C48">
      <w:pPr>
        <w:pStyle w:val="CRCoverPage"/>
        <w:outlineLvl w:val="0"/>
        <w:rPr>
          <w:b/>
          <w:noProof/>
          <w:sz w:val="24"/>
        </w:rPr>
      </w:pPr>
      <w:r w:rsidRPr="007B696D">
        <w:rPr>
          <w:b/>
          <w:noProof/>
          <w:sz w:val="24"/>
        </w:rPr>
        <w:t>Dubrovnik</w:t>
      </w:r>
      <w:r>
        <w:rPr>
          <w:b/>
          <w:noProof/>
          <w:sz w:val="24"/>
        </w:rPr>
        <w:t>, HR, 9</w:t>
      </w:r>
      <w:r w:rsidRPr="00A3346F">
        <w:rPr>
          <w:b/>
          <w:noProof/>
          <w:sz w:val="24"/>
          <w:vertAlign w:val="superscript"/>
        </w:rPr>
        <w:t>th</w:t>
      </w:r>
      <w:r>
        <w:rPr>
          <w:b/>
          <w:noProof/>
          <w:sz w:val="24"/>
        </w:rPr>
        <w:t xml:space="preserve"> – 13</w:t>
      </w:r>
      <w:r w:rsidRPr="006905A5">
        <w:rPr>
          <w:b/>
          <w:noProof/>
          <w:sz w:val="24"/>
          <w:vertAlign w:val="superscript"/>
        </w:rPr>
        <w:t>th</w:t>
      </w:r>
      <w:r>
        <w:rPr>
          <w:b/>
          <w:noProof/>
          <w:sz w:val="24"/>
        </w:rPr>
        <w:t xml:space="preserve"> October 2017</w:t>
      </w:r>
    </w:p>
    <w:p w:rsidR="00462F31" w:rsidRDefault="00462F31" w:rsidP="003C016E">
      <w:pPr>
        <w:pStyle w:val="Header"/>
        <w:rPr>
          <w:b w:val="0"/>
          <w:sz w:val="24"/>
        </w:rPr>
      </w:pPr>
    </w:p>
    <w:p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1770F">
        <w:rPr>
          <w:rFonts w:ascii="Arial" w:hAnsi="Arial"/>
          <w:sz w:val="24"/>
          <w:lang w:val="en-US"/>
        </w:rPr>
        <w:t>Transient period and its location for sTTI</w:t>
      </w:r>
    </w:p>
    <w:p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3C2444">
        <w:rPr>
          <w:rFonts w:ascii="Arial" w:hAnsi="Arial"/>
          <w:sz w:val="24"/>
          <w:lang w:val="en-US"/>
        </w:rPr>
        <w:t>8.23.2</w:t>
      </w:r>
    </w:p>
    <w:p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rsidR="00ED7522" w:rsidRDefault="000E0602" w:rsidP="006866E3">
      <w:pPr>
        <w:pStyle w:val="Heading1"/>
        <w:tabs>
          <w:tab w:val="clear" w:pos="432"/>
          <w:tab w:val="num" w:pos="522"/>
        </w:tabs>
        <w:ind w:left="522" w:hanging="522"/>
        <w:rPr>
          <w:lang w:val="en-US"/>
        </w:rPr>
      </w:pPr>
      <w:r>
        <w:rPr>
          <w:lang w:val="en-US"/>
        </w:rPr>
        <w:t>Introduction</w:t>
      </w:r>
    </w:p>
    <w:p w:rsidR="00FB0877" w:rsidRPr="00F22934" w:rsidRDefault="0031251E" w:rsidP="00F22934">
      <w:pPr>
        <w:rPr>
          <w:lang w:val="en-US"/>
        </w:rPr>
      </w:pPr>
      <w:r>
        <w:rPr>
          <w:lang w:val="en-US"/>
        </w:rPr>
        <w:t xml:space="preserve">In the past few meetings, transient period and its location has been discussed extensively. This paper captures </w:t>
      </w:r>
      <w:r w:rsidR="00B34D32">
        <w:rPr>
          <w:lang w:val="en-US"/>
        </w:rPr>
        <w:t xml:space="preserve">all of the agreements in previous meetings </w:t>
      </w:r>
      <w:r w:rsidR="008654F7">
        <w:rPr>
          <w:lang w:val="en-US"/>
        </w:rPr>
        <w:t>with</w:t>
      </w:r>
      <w:r>
        <w:rPr>
          <w:lang w:val="en-US"/>
        </w:rPr>
        <w:t xml:space="preserve"> </w:t>
      </w:r>
      <w:r w:rsidR="008F71F6">
        <w:rPr>
          <w:lang w:val="en-US"/>
        </w:rPr>
        <w:t xml:space="preserve">proposals to </w:t>
      </w:r>
      <w:r w:rsidR="00FF2609">
        <w:rPr>
          <w:lang w:val="en-US"/>
        </w:rPr>
        <w:t>the locations of the transient period</w:t>
      </w:r>
      <w:r>
        <w:rPr>
          <w:lang w:val="en-US"/>
        </w:rPr>
        <w:t xml:space="preserve">. </w:t>
      </w:r>
    </w:p>
    <w:p w:rsidR="00C15C1A" w:rsidRDefault="006866E3" w:rsidP="00A67A30">
      <w:pPr>
        <w:pStyle w:val="Heading1"/>
        <w:rPr>
          <w:lang w:val="en-US"/>
        </w:rPr>
      </w:pPr>
      <w:r w:rsidRPr="00C15C1A">
        <w:rPr>
          <w:lang w:val="en-US"/>
        </w:rPr>
        <w:t>Discussion</w:t>
      </w:r>
    </w:p>
    <w:p w:rsidR="00466A75" w:rsidRDefault="00620DAA" w:rsidP="00E928C5">
      <w:pPr>
        <w:rPr>
          <w:lang w:val="en-US"/>
        </w:rPr>
      </w:pPr>
      <w:r>
        <w:rPr>
          <w:lang w:val="en-US"/>
        </w:rPr>
        <w:t xml:space="preserve">In this section, the transient periods and their locations are discussed for various cases. </w:t>
      </w:r>
    </w:p>
    <w:p w:rsidR="00620DAA" w:rsidRDefault="00620DAA" w:rsidP="00620DAA">
      <w:pPr>
        <w:pStyle w:val="Heading2"/>
        <w:rPr>
          <w:lang w:val="en-US"/>
        </w:rPr>
      </w:pPr>
      <w:r>
        <w:rPr>
          <w:lang w:val="en-US"/>
        </w:rPr>
        <w:t>ON-OFF transient period</w:t>
      </w:r>
    </w:p>
    <w:p w:rsidR="00620DAA" w:rsidRDefault="00620DAA" w:rsidP="00620DAA">
      <w:pPr>
        <w:rPr>
          <w:lang w:val="en-US"/>
        </w:rPr>
      </w:pPr>
      <w:r>
        <w:rPr>
          <w:lang w:val="en-US"/>
        </w:rPr>
        <w:t>The agreement</w:t>
      </w:r>
      <w:r w:rsidR="004E3949">
        <w:rPr>
          <w:lang w:val="en-US"/>
        </w:rPr>
        <w:t>s</w:t>
      </w:r>
      <w:r>
        <w:rPr>
          <w:lang w:val="en-US"/>
        </w:rPr>
        <w:t xml:space="preserve"> </w:t>
      </w:r>
      <w:r w:rsidR="0057460A">
        <w:rPr>
          <w:lang w:val="en-US"/>
        </w:rPr>
        <w:t>noted in [1] and in chairman notes in RAN4-84 meeting</w:t>
      </w:r>
      <w:r w:rsidR="004B0EAB">
        <w:rPr>
          <w:lang w:val="en-US"/>
        </w:rPr>
        <w:t xml:space="preserve"> [2]</w:t>
      </w:r>
      <w:r w:rsidR="0057460A">
        <w:rPr>
          <w:lang w:val="en-US"/>
        </w:rPr>
        <w:t xml:space="preserve"> for Tx BW &gt;1.4 MHz the ON-OFF transient period is 10 usec. </w:t>
      </w:r>
    </w:p>
    <w:p w:rsidR="0057460A" w:rsidRDefault="0057460A" w:rsidP="00620DAA">
      <w:r>
        <w:object w:dxaOrig="12495" w:dyaOrig="4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74pt" o:ole="">
            <v:imagedata r:id="rId8" o:title=""/>
          </v:shape>
          <o:OLEObject Type="Embed" ProgID="Visio.Drawing.11" ShapeID="_x0000_i1025" DrawAspect="Content" ObjectID="_1569029795" r:id="rId9"/>
        </w:object>
      </w:r>
    </w:p>
    <w:p w:rsidR="0057460A" w:rsidRPr="00EA43CD" w:rsidRDefault="0057460A" w:rsidP="0057460A">
      <w:pPr>
        <w:jc w:val="center"/>
        <w:rPr>
          <w:lang w:val="en-US"/>
        </w:rPr>
      </w:pPr>
      <w:r w:rsidRPr="00EA43CD">
        <w:rPr>
          <w:lang w:val="en-US"/>
        </w:rPr>
        <w:t>Figure 1: ON/OFF mask for single sTTI</w:t>
      </w:r>
      <w:r>
        <w:rPr>
          <w:lang w:val="en-US"/>
        </w:rPr>
        <w:t xml:space="preserve"> for BW &gt; 1.4 MHz</w:t>
      </w:r>
    </w:p>
    <w:p w:rsidR="0057460A" w:rsidRDefault="0057460A" w:rsidP="00620DAA"/>
    <w:p w:rsidR="0057460A" w:rsidRDefault="0057460A" w:rsidP="0057460A">
      <w:pPr>
        <w:rPr>
          <w:sz w:val="24"/>
          <w:szCs w:val="24"/>
          <w:lang w:val="en-US"/>
        </w:rPr>
      </w:pPr>
      <w:r>
        <w:rPr>
          <w:sz w:val="24"/>
          <w:szCs w:val="24"/>
          <w:lang w:val="en-US"/>
        </w:rPr>
        <w:t xml:space="preserve">If 1.4 MHz BW is not required to be supported for sTTI, then the transient period for ON-OFF mask can be reduced from 20 usec to 10 usec. But if 1.4 MHz needs to be supported then transient period for ON-OFF needs to be 20 usec. </w:t>
      </w:r>
    </w:p>
    <w:p w:rsidR="0057460A" w:rsidRPr="00860BA5" w:rsidRDefault="0057460A" w:rsidP="0057460A">
      <w:pPr>
        <w:rPr>
          <w:b/>
          <w:sz w:val="24"/>
          <w:szCs w:val="24"/>
          <w:lang w:val="en-US"/>
        </w:rPr>
      </w:pPr>
      <w:r>
        <w:rPr>
          <w:b/>
          <w:sz w:val="24"/>
          <w:szCs w:val="24"/>
          <w:lang w:val="en-US"/>
        </w:rPr>
        <w:t>Agreement</w:t>
      </w:r>
      <w:r w:rsidR="00021764">
        <w:rPr>
          <w:b/>
          <w:sz w:val="24"/>
          <w:szCs w:val="24"/>
          <w:lang w:val="en-US"/>
        </w:rPr>
        <w:t xml:space="preserve"> 1</w:t>
      </w:r>
      <w:r>
        <w:rPr>
          <w:b/>
          <w:sz w:val="24"/>
          <w:szCs w:val="24"/>
          <w:lang w:val="en-US"/>
        </w:rPr>
        <w:t xml:space="preserve"> (for ON-OFF mask)</w:t>
      </w:r>
      <w:r w:rsidRPr="00860BA5">
        <w:rPr>
          <w:b/>
          <w:sz w:val="24"/>
          <w:szCs w:val="24"/>
          <w:lang w:val="en-US"/>
        </w:rPr>
        <w:t xml:space="preserve">:  </w:t>
      </w:r>
      <w:r w:rsidR="00B92FC0">
        <w:rPr>
          <w:b/>
          <w:sz w:val="24"/>
          <w:szCs w:val="24"/>
          <w:lang w:val="en-US"/>
        </w:rPr>
        <w:t>For sTTI</w:t>
      </w:r>
    </w:p>
    <w:p w:rsidR="0057460A" w:rsidRDefault="0057460A" w:rsidP="0057460A">
      <w:pPr>
        <w:pStyle w:val="ListParagraph"/>
        <w:numPr>
          <w:ilvl w:val="0"/>
          <w:numId w:val="21"/>
        </w:numPr>
        <w:rPr>
          <w:sz w:val="24"/>
          <w:szCs w:val="24"/>
          <w:lang w:val="en-US"/>
        </w:rPr>
      </w:pPr>
      <w:r w:rsidRPr="000B5CA0">
        <w:rPr>
          <w:sz w:val="24"/>
          <w:szCs w:val="24"/>
          <w:lang w:val="en-US"/>
        </w:rPr>
        <w:t>For Tx BW&gt;1.4 MHz, t1=10 usec</w:t>
      </w:r>
    </w:p>
    <w:p w:rsidR="0057460A" w:rsidRDefault="0057460A" w:rsidP="0057460A">
      <w:pPr>
        <w:pStyle w:val="ListParagraph"/>
        <w:numPr>
          <w:ilvl w:val="0"/>
          <w:numId w:val="21"/>
        </w:numPr>
        <w:rPr>
          <w:sz w:val="24"/>
          <w:szCs w:val="24"/>
          <w:lang w:val="en-US"/>
        </w:rPr>
      </w:pPr>
      <w:r>
        <w:rPr>
          <w:sz w:val="24"/>
          <w:szCs w:val="24"/>
          <w:lang w:val="en-US"/>
        </w:rPr>
        <w:t>For Tx BW=1.4 MHz, t1=20 usec</w:t>
      </w:r>
    </w:p>
    <w:p w:rsidR="00AF7608" w:rsidRPr="00AF7608" w:rsidRDefault="00AF7608" w:rsidP="00AF7608">
      <w:pPr>
        <w:rPr>
          <w:sz w:val="24"/>
          <w:szCs w:val="24"/>
          <w:lang w:val="en-US"/>
        </w:rPr>
      </w:pPr>
    </w:p>
    <w:p w:rsidR="008D624E" w:rsidRDefault="008D624E" w:rsidP="00B06CF3">
      <w:pPr>
        <w:pStyle w:val="Heading2"/>
        <w:rPr>
          <w:lang w:val="en-US"/>
        </w:rPr>
      </w:pPr>
      <w:r>
        <w:rPr>
          <w:lang w:val="en-US"/>
        </w:rPr>
        <w:lastRenderedPageBreak/>
        <w:t>For consecutive TTIs</w:t>
      </w:r>
    </w:p>
    <w:p w:rsidR="001A292D" w:rsidRDefault="001A292D" w:rsidP="001A292D">
      <w:pPr>
        <w:rPr>
          <w:lang w:val="en-US"/>
        </w:rPr>
      </w:pPr>
      <w:r>
        <w:rPr>
          <w:lang w:val="en-US"/>
        </w:rPr>
        <w:t xml:space="preserve">It has also been agreed in the previous meetings </w:t>
      </w:r>
      <w:r w:rsidR="00071CBD">
        <w:rPr>
          <w:lang w:val="en-US"/>
        </w:rPr>
        <w:t xml:space="preserve">[2] </w:t>
      </w:r>
      <w:r>
        <w:rPr>
          <w:lang w:val="en-US"/>
        </w:rPr>
        <w:t xml:space="preserve">that the transient period between consecutive symbols for sTTI will be 10+10 usec. </w:t>
      </w:r>
      <w:r w:rsidR="00574A4E">
        <w:rPr>
          <w:lang w:val="en-US"/>
        </w:rPr>
        <w:t xml:space="preserve">These two symbols could belong </w:t>
      </w:r>
      <w:r w:rsidR="00855319">
        <w:rPr>
          <w:lang w:val="en-US"/>
        </w:rPr>
        <w:t xml:space="preserve">to the same TTI or across TTIs and could contain SRS or not. </w:t>
      </w:r>
      <w:r>
        <w:rPr>
          <w:lang w:val="en-US"/>
        </w:rPr>
        <w:t xml:space="preserve">The location of this transient period is defined in this section. </w:t>
      </w:r>
    </w:p>
    <w:p w:rsidR="004E3C4D" w:rsidRPr="001A292D" w:rsidRDefault="004E3C4D" w:rsidP="001A292D">
      <w:pPr>
        <w:rPr>
          <w:lang w:val="en-US"/>
        </w:rPr>
      </w:pPr>
      <w:r w:rsidRPr="00021764">
        <w:rPr>
          <w:b/>
          <w:lang w:val="en-US"/>
        </w:rPr>
        <w:t>Agreement</w:t>
      </w:r>
      <w:r w:rsidR="00021764">
        <w:rPr>
          <w:b/>
          <w:lang w:val="en-US"/>
        </w:rPr>
        <w:t xml:space="preserve"> 2</w:t>
      </w:r>
      <w:r w:rsidRPr="00021764">
        <w:rPr>
          <w:b/>
          <w:lang w:val="en-US"/>
        </w:rPr>
        <w:t>:</w:t>
      </w:r>
      <w:r>
        <w:rPr>
          <w:lang w:val="en-US"/>
        </w:rPr>
        <w:t xml:space="preserve"> </w:t>
      </w:r>
      <w:r w:rsidR="00021764">
        <w:rPr>
          <w:lang w:val="en-US"/>
        </w:rPr>
        <w:t xml:space="preserve"> </w:t>
      </w:r>
      <w:r>
        <w:rPr>
          <w:lang w:val="en-US"/>
        </w:rPr>
        <w:t xml:space="preserve">Transient periods for consecutive symbols for sTTI will be 10+10 usec. </w:t>
      </w:r>
    </w:p>
    <w:p w:rsidR="008D624E" w:rsidRDefault="008D624E" w:rsidP="008D624E">
      <w:pPr>
        <w:rPr>
          <w:lang w:val="en-US"/>
        </w:rPr>
      </w:pPr>
      <w:r>
        <w:rPr>
          <w:lang w:val="en-US"/>
        </w:rPr>
        <w:t xml:space="preserve">There are multiple cases for consecutive TTIs as listed below: </w:t>
      </w:r>
    </w:p>
    <w:tbl>
      <w:tblPr>
        <w:tblW w:w="5194" w:type="dxa"/>
        <w:jc w:val="center"/>
        <w:tblCellMar>
          <w:left w:w="0" w:type="dxa"/>
          <w:right w:w="0" w:type="dxa"/>
        </w:tblCellMar>
        <w:tblLook w:val="0420" w:firstRow="1" w:lastRow="0" w:firstColumn="0" w:lastColumn="0" w:noHBand="0" w:noVBand="1"/>
      </w:tblPr>
      <w:tblGrid>
        <w:gridCol w:w="944"/>
        <w:gridCol w:w="2106"/>
        <w:gridCol w:w="2144"/>
      </w:tblGrid>
      <w:tr w:rsidR="008D624E" w:rsidRPr="008D624E" w:rsidTr="00AA2951">
        <w:trPr>
          <w:trHeight w:val="460"/>
          <w:jc w:val="center"/>
        </w:trPr>
        <w:tc>
          <w:tcPr>
            <w:tcW w:w="944" w:type="dxa"/>
            <w:tcBorders>
              <w:top w:val="single" w:sz="8" w:space="0" w:color="000000"/>
              <w:left w:val="single" w:sz="8" w:space="0" w:color="000000"/>
              <w:bottom w:val="single" w:sz="8" w:space="0" w:color="000000"/>
              <w:right w:val="single" w:sz="8" w:space="0" w:color="000000"/>
            </w:tcBorders>
            <w:shd w:val="clear" w:color="auto" w:fill="C3D69B"/>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Case</w:t>
            </w:r>
          </w:p>
        </w:tc>
        <w:tc>
          <w:tcPr>
            <w:tcW w:w="2106" w:type="dxa"/>
            <w:tcBorders>
              <w:top w:val="single" w:sz="8" w:space="0" w:color="000000"/>
              <w:left w:val="single" w:sz="8" w:space="0" w:color="000000"/>
              <w:bottom w:val="single" w:sz="8" w:space="0" w:color="000000"/>
              <w:right w:val="single" w:sz="8" w:space="0" w:color="000000"/>
            </w:tcBorders>
            <w:shd w:val="clear" w:color="auto" w:fill="C3D69B"/>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 xml:space="preserve">Current </w:t>
            </w:r>
            <w:r>
              <w:rPr>
                <w:lang w:val="en-US"/>
              </w:rPr>
              <w:t xml:space="preserve">symbol/ </w:t>
            </w:r>
            <w:r w:rsidRPr="008D624E">
              <w:rPr>
                <w:lang w:val="en-US"/>
              </w:rPr>
              <w:t>TTI</w:t>
            </w:r>
          </w:p>
        </w:tc>
        <w:tc>
          <w:tcPr>
            <w:tcW w:w="2144" w:type="dxa"/>
            <w:tcBorders>
              <w:top w:val="single" w:sz="8" w:space="0" w:color="000000"/>
              <w:left w:val="single" w:sz="8" w:space="0" w:color="000000"/>
              <w:bottom w:val="single" w:sz="8" w:space="0" w:color="000000"/>
              <w:right w:val="single" w:sz="8" w:space="0" w:color="000000"/>
            </w:tcBorders>
            <w:shd w:val="clear" w:color="auto" w:fill="C3D69B"/>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 xml:space="preserve">Next </w:t>
            </w:r>
            <w:r>
              <w:rPr>
                <w:lang w:val="en-US"/>
              </w:rPr>
              <w:t>symbol/</w:t>
            </w:r>
            <w:r w:rsidRPr="008D624E">
              <w:rPr>
                <w:lang w:val="en-US"/>
              </w:rPr>
              <w:t>TTI</w:t>
            </w:r>
          </w:p>
        </w:tc>
      </w:tr>
      <w:tr w:rsidR="008D624E" w:rsidRPr="008D624E" w:rsidTr="00AA2951">
        <w:trPr>
          <w:trHeight w:val="296"/>
          <w:jc w:val="center"/>
        </w:trPr>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1</w:t>
            </w:r>
          </w:p>
        </w:tc>
        <w:tc>
          <w:tcPr>
            <w:tcW w:w="2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2os/3os</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2os/3os</w:t>
            </w:r>
          </w:p>
        </w:tc>
      </w:tr>
      <w:tr w:rsidR="008D624E" w:rsidRPr="008D624E" w:rsidTr="008D624E">
        <w:trPr>
          <w:trHeight w:val="296"/>
          <w:jc w:val="center"/>
        </w:trPr>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2</w:t>
            </w:r>
          </w:p>
        </w:tc>
        <w:tc>
          <w:tcPr>
            <w:tcW w:w="425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Intra sTTI 2os/3os/7os hopping</w:t>
            </w:r>
          </w:p>
        </w:tc>
      </w:tr>
      <w:tr w:rsidR="008D624E" w:rsidRPr="008D624E" w:rsidTr="00AA2951">
        <w:trPr>
          <w:trHeight w:val="296"/>
          <w:jc w:val="center"/>
        </w:trPr>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3</w:t>
            </w:r>
          </w:p>
        </w:tc>
        <w:tc>
          <w:tcPr>
            <w:tcW w:w="2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2os/3os</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1msec/7os</w:t>
            </w:r>
          </w:p>
        </w:tc>
      </w:tr>
      <w:tr w:rsidR="008D624E" w:rsidRPr="008D624E" w:rsidTr="00AA2951">
        <w:trPr>
          <w:trHeight w:val="296"/>
          <w:jc w:val="center"/>
        </w:trPr>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4</w:t>
            </w:r>
          </w:p>
        </w:tc>
        <w:tc>
          <w:tcPr>
            <w:tcW w:w="2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1msec/7os</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2os/3os</w:t>
            </w:r>
          </w:p>
        </w:tc>
      </w:tr>
      <w:tr w:rsidR="008D624E" w:rsidRPr="008D624E" w:rsidTr="00AA2951">
        <w:trPr>
          <w:trHeight w:val="17"/>
          <w:jc w:val="center"/>
        </w:trPr>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5</w:t>
            </w:r>
          </w:p>
        </w:tc>
        <w:tc>
          <w:tcPr>
            <w:tcW w:w="2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1msec/7os</w:t>
            </w:r>
          </w:p>
        </w:tc>
        <w:tc>
          <w:tcPr>
            <w:tcW w:w="21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D624E" w:rsidRPr="008D624E" w:rsidRDefault="008D624E" w:rsidP="008D624E">
            <w:pPr>
              <w:jc w:val="center"/>
              <w:rPr>
                <w:lang w:val="en-US"/>
              </w:rPr>
            </w:pPr>
            <w:r w:rsidRPr="008D624E">
              <w:rPr>
                <w:lang w:val="en-US"/>
              </w:rPr>
              <w:t>7os</w:t>
            </w:r>
            <w:r w:rsidR="00FC2B1E">
              <w:rPr>
                <w:lang w:val="en-US"/>
              </w:rPr>
              <w:t>/1msec</w:t>
            </w:r>
          </w:p>
        </w:tc>
      </w:tr>
    </w:tbl>
    <w:p w:rsidR="0057460A" w:rsidRDefault="008D624E" w:rsidP="008D624E">
      <w:pPr>
        <w:jc w:val="center"/>
        <w:rPr>
          <w:lang w:val="en-US"/>
        </w:rPr>
      </w:pPr>
      <w:r>
        <w:rPr>
          <w:lang w:val="en-US"/>
        </w:rPr>
        <w:t>Table 1: List of all possible cases for transient periods between consecutive symbols</w:t>
      </w: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Default="006A3AF3" w:rsidP="008D624E">
      <w:pPr>
        <w:jc w:val="center"/>
        <w:rPr>
          <w:lang w:val="en-US"/>
        </w:rPr>
      </w:pPr>
    </w:p>
    <w:p w:rsidR="006A3AF3" w:rsidRPr="008D624E" w:rsidRDefault="006A3AF3" w:rsidP="008D624E">
      <w:pPr>
        <w:jc w:val="center"/>
        <w:rPr>
          <w:lang w:val="en-US"/>
        </w:rPr>
      </w:pPr>
    </w:p>
    <w:p w:rsidR="008D624E" w:rsidRPr="007E4F73" w:rsidRDefault="00AA2951" w:rsidP="008D624E">
      <w:pPr>
        <w:rPr>
          <w:b/>
          <w:lang w:val="en-US"/>
        </w:rPr>
      </w:pPr>
      <w:r w:rsidRPr="00AA2951">
        <w:rPr>
          <w:b/>
          <w:lang w:val="en-US"/>
        </w:rPr>
        <w:lastRenderedPageBreak/>
        <w:t>Proposal 1:</w:t>
      </w:r>
      <w:r>
        <w:rPr>
          <w:lang w:val="en-US"/>
        </w:rPr>
        <w:t xml:space="preserve"> </w:t>
      </w:r>
      <w:r w:rsidRPr="007E4F73">
        <w:rPr>
          <w:b/>
          <w:lang w:val="en-US"/>
        </w:rPr>
        <w:t xml:space="preserve">Table </w:t>
      </w:r>
      <w:r w:rsidR="007E4F73">
        <w:rPr>
          <w:b/>
          <w:lang w:val="en-US"/>
        </w:rPr>
        <w:t>2</w:t>
      </w:r>
      <w:r w:rsidR="00DF6698">
        <w:rPr>
          <w:b/>
          <w:lang w:val="en-US"/>
        </w:rPr>
        <w:t>,</w:t>
      </w:r>
      <w:r w:rsidR="007E4F73">
        <w:rPr>
          <w:b/>
          <w:lang w:val="en-US"/>
        </w:rPr>
        <w:t xml:space="preserve"> </w:t>
      </w:r>
      <w:r w:rsidRPr="007E4F73">
        <w:rPr>
          <w:b/>
          <w:lang w:val="en-US"/>
        </w:rPr>
        <w:t>below</w:t>
      </w:r>
      <w:r w:rsidR="00DF6698">
        <w:rPr>
          <w:b/>
          <w:lang w:val="en-US"/>
        </w:rPr>
        <w:t>,</w:t>
      </w:r>
      <w:r w:rsidRPr="007E4F73">
        <w:rPr>
          <w:b/>
          <w:lang w:val="en-US"/>
        </w:rPr>
        <w:t xml:space="preserve"> gives logic to decide the location for the transient periods for each of the above cases: </w:t>
      </w:r>
    </w:p>
    <w:tbl>
      <w:tblPr>
        <w:tblW w:w="9780" w:type="dxa"/>
        <w:jc w:val="center"/>
        <w:tblCellMar>
          <w:left w:w="0" w:type="dxa"/>
          <w:right w:w="0" w:type="dxa"/>
        </w:tblCellMar>
        <w:tblLook w:val="0420" w:firstRow="1" w:lastRow="0" w:firstColumn="0" w:lastColumn="0" w:noHBand="0" w:noVBand="1"/>
      </w:tblPr>
      <w:tblGrid>
        <w:gridCol w:w="678"/>
        <w:gridCol w:w="4498"/>
        <w:gridCol w:w="4604"/>
      </w:tblGrid>
      <w:tr w:rsidR="00AA2951" w:rsidRPr="00AA2951" w:rsidTr="00AA2951">
        <w:trPr>
          <w:trHeight w:val="551"/>
          <w:jc w:val="center"/>
        </w:trPr>
        <w:tc>
          <w:tcPr>
            <w:tcW w:w="678" w:type="dxa"/>
            <w:tcBorders>
              <w:top w:val="single" w:sz="8" w:space="0" w:color="000000"/>
              <w:left w:val="single" w:sz="8" w:space="0" w:color="000000"/>
              <w:bottom w:val="single" w:sz="8" w:space="0" w:color="000000"/>
              <w:right w:val="single" w:sz="8" w:space="0" w:color="000000"/>
            </w:tcBorders>
            <w:shd w:val="clear" w:color="auto" w:fill="C3D69B"/>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Case</w:t>
            </w:r>
          </w:p>
        </w:tc>
        <w:tc>
          <w:tcPr>
            <w:tcW w:w="4498" w:type="dxa"/>
            <w:tcBorders>
              <w:top w:val="single" w:sz="8" w:space="0" w:color="000000"/>
              <w:left w:val="single" w:sz="8" w:space="0" w:color="000000"/>
              <w:bottom w:val="single" w:sz="8" w:space="0" w:color="000000"/>
              <w:right w:val="single" w:sz="8" w:space="0" w:color="000000"/>
            </w:tcBorders>
            <w:shd w:val="clear" w:color="auto" w:fill="C3D69B"/>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If condition</w:t>
            </w:r>
          </w:p>
        </w:tc>
        <w:tc>
          <w:tcPr>
            <w:tcW w:w="4604" w:type="dxa"/>
            <w:tcBorders>
              <w:top w:val="single" w:sz="8" w:space="0" w:color="000000"/>
              <w:left w:val="single" w:sz="8" w:space="0" w:color="000000"/>
              <w:bottom w:val="single" w:sz="8" w:space="0" w:color="000000"/>
              <w:right w:val="single" w:sz="8" w:space="0" w:color="000000"/>
            </w:tcBorders>
            <w:shd w:val="clear" w:color="auto" w:fill="C3D69B"/>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Then?</w:t>
            </w:r>
          </w:p>
        </w:tc>
      </w:tr>
      <w:tr w:rsidR="00AA2951" w:rsidRPr="00AA2951" w:rsidTr="00AA2951">
        <w:trPr>
          <w:trHeight w:val="551"/>
          <w:jc w:val="center"/>
        </w:trPr>
        <w:tc>
          <w:tcPr>
            <w:tcW w:w="678"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1, 2</w:t>
            </w:r>
          </w:p>
        </w:tc>
        <w:tc>
          <w:tcPr>
            <w:tcW w:w="44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If the symbols across the transient are [R, R]</w:t>
            </w:r>
          </w:p>
        </w:tc>
        <w:tc>
          <w:tcPr>
            <w:tcW w:w="46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Then share the transient period symmetrically</w:t>
            </w:r>
          </w:p>
        </w:tc>
      </w:tr>
      <w:tr w:rsidR="00AA2951" w:rsidRPr="00AA2951" w:rsidTr="00AA2951">
        <w:trPr>
          <w:trHeight w:val="55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A2951" w:rsidRPr="00AA2951" w:rsidRDefault="00AA2951" w:rsidP="00AA2951">
            <w:pPr>
              <w:jc w:val="center"/>
              <w:rPr>
                <w:lang w:val="en-US"/>
              </w:rPr>
            </w:pPr>
          </w:p>
        </w:tc>
        <w:tc>
          <w:tcPr>
            <w:tcW w:w="44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Else if the symbol on the right of the transient is ‘R’</w:t>
            </w:r>
          </w:p>
        </w:tc>
        <w:tc>
          <w:tcPr>
            <w:tcW w:w="46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Then irrespective of the symbol on the left, place the entire transient period in the right ‘R’</w:t>
            </w:r>
          </w:p>
        </w:tc>
      </w:tr>
      <w:tr w:rsidR="00AA2951" w:rsidRPr="00AA2951" w:rsidTr="00AA2951">
        <w:trPr>
          <w:trHeight w:val="55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A2951" w:rsidRPr="00AA2951" w:rsidRDefault="00AA2951" w:rsidP="00AA2951">
            <w:pPr>
              <w:jc w:val="center"/>
              <w:rPr>
                <w:lang w:val="en-US"/>
              </w:rPr>
            </w:pPr>
          </w:p>
        </w:tc>
        <w:tc>
          <w:tcPr>
            <w:tcW w:w="44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Else if the symbol left of the transient is ‘R’</w:t>
            </w:r>
          </w:p>
        </w:tc>
        <w:tc>
          <w:tcPr>
            <w:tcW w:w="46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Then irrespective of the symbol on the right, place the entire transient period in left ‘R’</w:t>
            </w:r>
          </w:p>
        </w:tc>
      </w:tr>
      <w:tr w:rsidR="00AA2951" w:rsidRPr="00AA2951" w:rsidTr="00AA2951">
        <w:trPr>
          <w:trHeight w:val="55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A2951" w:rsidRPr="00AA2951" w:rsidRDefault="00AA2951" w:rsidP="00AA2951">
            <w:pPr>
              <w:jc w:val="center"/>
              <w:rPr>
                <w:lang w:val="en-US"/>
              </w:rPr>
            </w:pPr>
          </w:p>
        </w:tc>
        <w:tc>
          <w:tcPr>
            <w:tcW w:w="44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Else</w:t>
            </w:r>
          </w:p>
        </w:tc>
        <w:tc>
          <w:tcPr>
            <w:tcW w:w="46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Share transient period symmetrically between the two symbols/TTIs</w:t>
            </w:r>
          </w:p>
        </w:tc>
      </w:tr>
      <w:tr w:rsidR="00AA2951" w:rsidRPr="00AA2951" w:rsidTr="00AA2951">
        <w:trPr>
          <w:trHeight w:val="551"/>
          <w:jc w:val="center"/>
        </w:trPr>
        <w:tc>
          <w:tcPr>
            <w:tcW w:w="678"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3</w:t>
            </w:r>
          </w:p>
        </w:tc>
        <w:tc>
          <w:tcPr>
            <w:tcW w:w="4498"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For all possible data patterns</w:t>
            </w:r>
          </w:p>
        </w:tc>
        <w:tc>
          <w:tcPr>
            <w:tcW w:w="4604"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Place the entire transient period in right/next TTI</w:t>
            </w:r>
          </w:p>
        </w:tc>
      </w:tr>
      <w:tr w:rsidR="00AA2951" w:rsidRPr="00AA2951" w:rsidTr="00AA2951">
        <w:trPr>
          <w:trHeight w:val="551"/>
          <w:jc w:val="center"/>
        </w:trPr>
        <w:tc>
          <w:tcPr>
            <w:tcW w:w="678"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4</w:t>
            </w:r>
          </w:p>
        </w:tc>
        <w:tc>
          <w:tcPr>
            <w:tcW w:w="44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If the last symbol of current TTI is SRS and if the first symb</w:t>
            </w:r>
            <w:bookmarkStart w:id="0" w:name="_GoBack"/>
            <w:bookmarkEnd w:id="0"/>
            <w:r w:rsidRPr="00AA2951">
              <w:rPr>
                <w:lang w:val="en-US"/>
              </w:rPr>
              <w:t>ol on the right sTTI is ‘R’</w:t>
            </w:r>
          </w:p>
        </w:tc>
        <w:tc>
          <w:tcPr>
            <w:tcW w:w="46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Place the entire transient period in ‘R’</w:t>
            </w:r>
          </w:p>
        </w:tc>
      </w:tr>
      <w:tr w:rsidR="00AA2951" w:rsidRPr="00AA2951" w:rsidTr="00AA2951">
        <w:trPr>
          <w:trHeight w:val="55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A2951" w:rsidRPr="00AA2951" w:rsidRDefault="00AA2951" w:rsidP="00AA2951">
            <w:pPr>
              <w:jc w:val="center"/>
              <w:rPr>
                <w:lang w:val="en-US"/>
              </w:rPr>
            </w:pPr>
          </w:p>
        </w:tc>
        <w:tc>
          <w:tcPr>
            <w:tcW w:w="44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Else if the last symbol of current TTI is SRS and if the first symbol on the right sTTI is ‘D’</w:t>
            </w:r>
          </w:p>
        </w:tc>
        <w:tc>
          <w:tcPr>
            <w:tcW w:w="46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Share the transient period symmetrically between the two symbols/TTIs</w:t>
            </w:r>
          </w:p>
        </w:tc>
      </w:tr>
      <w:tr w:rsidR="00AA2951" w:rsidRPr="00AA2951" w:rsidTr="00AA2951">
        <w:trPr>
          <w:trHeight w:val="55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A2951" w:rsidRPr="00AA2951" w:rsidRDefault="00AA2951" w:rsidP="00AA2951">
            <w:pPr>
              <w:jc w:val="center"/>
              <w:rPr>
                <w:lang w:val="en-US"/>
              </w:rPr>
            </w:pPr>
          </w:p>
        </w:tc>
        <w:tc>
          <w:tcPr>
            <w:tcW w:w="44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Else</w:t>
            </w:r>
          </w:p>
        </w:tc>
        <w:tc>
          <w:tcPr>
            <w:tcW w:w="46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Place the entire transient period in current TTI</w:t>
            </w:r>
          </w:p>
        </w:tc>
      </w:tr>
      <w:tr w:rsidR="00AA2951" w:rsidRPr="00AA2951" w:rsidTr="00AA2951">
        <w:trPr>
          <w:trHeight w:val="551"/>
          <w:jc w:val="center"/>
        </w:trPr>
        <w:tc>
          <w:tcPr>
            <w:tcW w:w="678"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5</w:t>
            </w:r>
          </w:p>
        </w:tc>
        <w:tc>
          <w:tcPr>
            <w:tcW w:w="4498"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For all data patterns</w:t>
            </w:r>
          </w:p>
        </w:tc>
        <w:tc>
          <w:tcPr>
            <w:tcW w:w="4604"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rsidR="00AA2951" w:rsidRPr="00AA2951" w:rsidRDefault="00AA2951" w:rsidP="00AA2951">
            <w:pPr>
              <w:jc w:val="center"/>
              <w:rPr>
                <w:lang w:val="en-US"/>
              </w:rPr>
            </w:pPr>
            <w:r w:rsidRPr="00AA2951">
              <w:rPr>
                <w:lang w:val="en-US"/>
              </w:rPr>
              <w:t>Treat this case similar to that of legacy 1msec+1msec TTI</w:t>
            </w:r>
          </w:p>
        </w:tc>
      </w:tr>
    </w:tbl>
    <w:p w:rsidR="00AA2951" w:rsidRDefault="00184FBD" w:rsidP="00184FBD">
      <w:pPr>
        <w:jc w:val="center"/>
        <w:rPr>
          <w:lang w:val="en-US"/>
        </w:rPr>
      </w:pPr>
      <w:r>
        <w:rPr>
          <w:lang w:val="en-US"/>
        </w:rPr>
        <w:t>Table 2: Proposals for the transient period location for various scenarios</w:t>
      </w:r>
    </w:p>
    <w:p w:rsidR="00831A3E" w:rsidRDefault="00831A3E" w:rsidP="008D624E">
      <w:pPr>
        <w:rPr>
          <w:lang w:val="en-US"/>
        </w:rPr>
      </w:pPr>
    </w:p>
    <w:p w:rsidR="00831A3E" w:rsidRDefault="00EC2B78" w:rsidP="008D624E">
      <w:pPr>
        <w:rPr>
          <w:lang w:val="en-US"/>
        </w:rPr>
      </w:pPr>
      <w:r>
        <w:rPr>
          <w:lang w:val="en-US"/>
        </w:rPr>
        <w:t>Based on this logic, the transient period lo</w:t>
      </w:r>
      <w:r w:rsidR="006A3AF3">
        <w:rPr>
          <w:lang w:val="en-US"/>
        </w:rPr>
        <w:t>cations will be as shown below.</w:t>
      </w:r>
    </w:p>
    <w:p w:rsidR="006A3AF3" w:rsidRDefault="006A3AF3" w:rsidP="008D624E">
      <w:pPr>
        <w:rPr>
          <w:lang w:val="en-US"/>
        </w:rPr>
      </w:pPr>
    </w:p>
    <w:p w:rsidR="006A3AF3" w:rsidRDefault="006A3AF3" w:rsidP="008D624E">
      <w:pPr>
        <w:rPr>
          <w:lang w:val="en-US"/>
        </w:rPr>
      </w:pPr>
    </w:p>
    <w:p w:rsidR="006A3AF3" w:rsidRDefault="006A3AF3" w:rsidP="008D624E">
      <w:pPr>
        <w:rPr>
          <w:lang w:val="en-US"/>
        </w:rPr>
      </w:pPr>
    </w:p>
    <w:p w:rsidR="006A3AF3" w:rsidRDefault="006A3AF3" w:rsidP="008D624E">
      <w:pPr>
        <w:rPr>
          <w:lang w:val="en-US"/>
        </w:rPr>
      </w:pPr>
    </w:p>
    <w:p w:rsidR="006A3AF3" w:rsidRDefault="006A3AF3" w:rsidP="008D624E">
      <w:pPr>
        <w:rPr>
          <w:lang w:val="en-US"/>
        </w:rPr>
      </w:pPr>
    </w:p>
    <w:p w:rsidR="006A3AF3" w:rsidRDefault="006A3AF3" w:rsidP="008D624E">
      <w:pPr>
        <w:rPr>
          <w:lang w:val="en-US"/>
        </w:rPr>
      </w:pPr>
    </w:p>
    <w:p w:rsidR="00EC2B78" w:rsidRDefault="00EC2B78" w:rsidP="00EC2B78">
      <w:pPr>
        <w:pStyle w:val="Heading3"/>
        <w:rPr>
          <w:lang w:val="en-US"/>
        </w:rPr>
      </w:pPr>
      <w:r>
        <w:rPr>
          <w:lang w:val="en-US"/>
        </w:rPr>
        <w:lastRenderedPageBreak/>
        <w:t xml:space="preserve"> Between two sTTIs of 2os</w:t>
      </w:r>
      <w:r w:rsidR="005922B4">
        <w:rPr>
          <w:lang w:val="en-US"/>
        </w:rPr>
        <w:t xml:space="preserve"> or 3</w:t>
      </w:r>
      <w:r>
        <w:rPr>
          <w:lang w:val="en-US"/>
        </w:rPr>
        <w:t>os without SRS</w:t>
      </w:r>
    </w:p>
    <w:p w:rsidR="00EC2B78" w:rsidRDefault="00EC2B78" w:rsidP="008D624E">
      <w:r>
        <w:object w:dxaOrig="10695" w:dyaOrig="2936">
          <v:shape id="_x0000_i1026" type="#_x0000_t75" style="width:481.2pt;height:132pt" o:ole="">
            <v:imagedata r:id="rId10" o:title=""/>
          </v:shape>
          <o:OLEObject Type="Embed" ProgID="Visio.Drawing.11" ShapeID="_x0000_i1026" DrawAspect="Content" ObjectID="_1569029796" r:id="rId11"/>
        </w:object>
      </w:r>
    </w:p>
    <w:p w:rsidR="00EC2B78" w:rsidRDefault="00EC2B78" w:rsidP="008D624E">
      <w:r>
        <w:object w:dxaOrig="10695" w:dyaOrig="2936">
          <v:shape id="_x0000_i1027" type="#_x0000_t75" style="width:481.2pt;height:132pt" o:ole="">
            <v:imagedata r:id="rId12" o:title=""/>
          </v:shape>
          <o:OLEObject Type="Embed" ProgID="Visio.Drawing.11" ShapeID="_x0000_i1027" DrawAspect="Content" ObjectID="_1569029797" r:id="rId13"/>
        </w:object>
      </w:r>
    </w:p>
    <w:p w:rsidR="00EC2B78" w:rsidRDefault="00EC2B78" w:rsidP="008D624E">
      <w:r>
        <w:object w:dxaOrig="10695" w:dyaOrig="2936">
          <v:shape id="_x0000_i1028" type="#_x0000_t75" style="width:481.2pt;height:132pt" o:ole="">
            <v:imagedata r:id="rId14" o:title=""/>
          </v:shape>
          <o:OLEObject Type="Embed" ProgID="Visio.Drawing.11" ShapeID="_x0000_i1028" DrawAspect="Content" ObjectID="_1569029798" r:id="rId15"/>
        </w:object>
      </w:r>
    </w:p>
    <w:p w:rsidR="00EC2B78" w:rsidRDefault="00EC2B78" w:rsidP="008D624E">
      <w:pPr>
        <w:rPr>
          <w:lang w:val="en-US"/>
        </w:rPr>
      </w:pPr>
      <w:r>
        <w:object w:dxaOrig="10695" w:dyaOrig="2936">
          <v:shape id="_x0000_i1029" type="#_x0000_t75" style="width:481.2pt;height:132pt" o:ole="">
            <v:imagedata r:id="rId16" o:title=""/>
          </v:shape>
          <o:OLEObject Type="Embed" ProgID="Visio.Drawing.11" ShapeID="_x0000_i1029" DrawAspect="Content" ObjectID="_1569029799" r:id="rId17"/>
        </w:object>
      </w:r>
    </w:p>
    <w:p w:rsidR="00831A3E" w:rsidRDefault="005922B4" w:rsidP="00D41FE0">
      <w:pPr>
        <w:pStyle w:val="Heading3"/>
        <w:rPr>
          <w:lang w:val="en-US"/>
        </w:rPr>
      </w:pPr>
      <w:r>
        <w:rPr>
          <w:lang w:val="en-US"/>
        </w:rPr>
        <w:lastRenderedPageBreak/>
        <w:t>Between two 2os sTTIs with SRS</w:t>
      </w:r>
    </w:p>
    <w:p w:rsidR="005922B4" w:rsidRDefault="005922B4" w:rsidP="005922B4">
      <w:r>
        <w:object w:dxaOrig="13395" w:dyaOrig="2946">
          <v:shape id="_x0000_i1030" type="#_x0000_t75" style="width:480.6pt;height:105.6pt" o:ole="">
            <v:imagedata r:id="rId18" o:title=""/>
          </v:shape>
          <o:OLEObject Type="Embed" ProgID="Visio.Drawing.11" ShapeID="_x0000_i1030" DrawAspect="Content" ObjectID="_1569029800" r:id="rId19"/>
        </w:object>
      </w:r>
    </w:p>
    <w:p w:rsidR="005922B4" w:rsidRDefault="005922B4" w:rsidP="005922B4">
      <w:r>
        <w:object w:dxaOrig="13395" w:dyaOrig="2946">
          <v:shape id="_x0000_i1031" type="#_x0000_t75" style="width:480.6pt;height:105.6pt" o:ole="">
            <v:imagedata r:id="rId20" o:title=""/>
          </v:shape>
          <o:OLEObject Type="Embed" ProgID="Visio.Drawing.11" ShapeID="_x0000_i1031" DrawAspect="Content" ObjectID="_1569029801" r:id="rId21"/>
        </w:object>
      </w:r>
    </w:p>
    <w:p w:rsidR="005922B4" w:rsidRDefault="005922B4" w:rsidP="005922B4">
      <w:r>
        <w:object w:dxaOrig="13395" w:dyaOrig="2946">
          <v:shape id="_x0000_i1032" type="#_x0000_t75" style="width:480.6pt;height:105.6pt" o:ole="">
            <v:imagedata r:id="rId22" o:title=""/>
          </v:shape>
          <o:OLEObject Type="Embed" ProgID="Visio.Drawing.11" ShapeID="_x0000_i1032" DrawAspect="Content" ObjectID="_1569029802" r:id="rId23"/>
        </w:object>
      </w:r>
    </w:p>
    <w:p w:rsidR="005922B4" w:rsidRDefault="005922B4" w:rsidP="005922B4">
      <w:r>
        <w:object w:dxaOrig="13395" w:dyaOrig="2946">
          <v:shape id="_x0000_i1033" type="#_x0000_t75" style="width:480.6pt;height:105.6pt" o:ole="">
            <v:imagedata r:id="rId24" o:title=""/>
          </v:shape>
          <o:OLEObject Type="Embed" ProgID="Visio.Drawing.11" ShapeID="_x0000_i1033" DrawAspect="Content" ObjectID="_1569029803" r:id="rId25"/>
        </w:object>
      </w:r>
    </w:p>
    <w:p w:rsidR="00D417D7" w:rsidRDefault="00D417D7" w:rsidP="005922B4"/>
    <w:p w:rsidR="00D417D7" w:rsidRDefault="00D417D7" w:rsidP="005922B4"/>
    <w:p w:rsidR="00D417D7" w:rsidRDefault="00D417D7" w:rsidP="005922B4"/>
    <w:p w:rsidR="00D417D7" w:rsidRDefault="00D417D7" w:rsidP="005922B4"/>
    <w:p w:rsidR="00D417D7" w:rsidRDefault="00D417D7" w:rsidP="005922B4"/>
    <w:p w:rsidR="005922B4" w:rsidRDefault="005922B4" w:rsidP="005922B4">
      <w:pPr>
        <w:pStyle w:val="Heading3"/>
        <w:rPr>
          <w:lang w:val="en-US"/>
        </w:rPr>
      </w:pPr>
      <w:r>
        <w:rPr>
          <w:lang w:val="en-US"/>
        </w:rPr>
        <w:lastRenderedPageBreak/>
        <w:t>Between 2os and 1msec TTI</w:t>
      </w:r>
    </w:p>
    <w:p w:rsidR="005922B4" w:rsidRDefault="005922B4" w:rsidP="005922B4">
      <w:r>
        <w:object w:dxaOrig="13395" w:dyaOrig="2946">
          <v:shape id="_x0000_i1034" type="#_x0000_t75" style="width:480.6pt;height:105.6pt" o:ole="">
            <v:imagedata r:id="rId26" o:title=""/>
          </v:shape>
          <o:OLEObject Type="Embed" ProgID="Visio.Drawing.11" ShapeID="_x0000_i1034" DrawAspect="Content" ObjectID="_1569029804" r:id="rId27"/>
        </w:object>
      </w:r>
    </w:p>
    <w:p w:rsidR="005922B4" w:rsidRDefault="005922B4" w:rsidP="005922B4">
      <w:r>
        <w:object w:dxaOrig="13395" w:dyaOrig="2946">
          <v:shape id="_x0000_i1035" type="#_x0000_t75" style="width:480.6pt;height:105.6pt" o:ole="">
            <v:imagedata r:id="rId28" o:title=""/>
          </v:shape>
          <o:OLEObject Type="Embed" ProgID="Visio.Drawing.11" ShapeID="_x0000_i1035" DrawAspect="Content" ObjectID="_1569029805" r:id="rId29"/>
        </w:object>
      </w:r>
    </w:p>
    <w:p w:rsidR="005922B4" w:rsidRDefault="005922B4" w:rsidP="005922B4">
      <w:r>
        <w:object w:dxaOrig="13395" w:dyaOrig="2956">
          <v:shape id="_x0000_i1036" type="#_x0000_t75" style="width:480.6pt;height:105.6pt" o:ole="">
            <v:imagedata r:id="rId30" o:title=""/>
          </v:shape>
          <o:OLEObject Type="Embed" ProgID="Visio.Drawing.11" ShapeID="_x0000_i1036" DrawAspect="Content" ObjectID="_1569029806" r:id="rId31"/>
        </w:object>
      </w:r>
    </w:p>
    <w:p w:rsidR="005922B4" w:rsidRDefault="005922B4" w:rsidP="005922B4">
      <w:r>
        <w:object w:dxaOrig="13395" w:dyaOrig="2956">
          <v:shape id="_x0000_i1037" type="#_x0000_t75" style="width:480.6pt;height:105.6pt" o:ole="">
            <v:imagedata r:id="rId32" o:title=""/>
          </v:shape>
          <o:OLEObject Type="Embed" ProgID="Visio.Drawing.11" ShapeID="_x0000_i1037" DrawAspect="Content" ObjectID="_1569029807" r:id="rId33"/>
        </w:object>
      </w:r>
    </w:p>
    <w:p w:rsidR="005922B4" w:rsidRDefault="00676A2E" w:rsidP="00676A2E">
      <w:pPr>
        <w:pStyle w:val="Heading3"/>
        <w:rPr>
          <w:lang w:val="en-US"/>
        </w:rPr>
      </w:pPr>
      <w:r>
        <w:rPr>
          <w:lang w:val="en-US"/>
        </w:rPr>
        <w:t>Between two 7os TTIs</w:t>
      </w:r>
      <w:r w:rsidR="00BD1EE3">
        <w:rPr>
          <w:lang w:val="en-US"/>
        </w:rPr>
        <w:t xml:space="preserve"> when the last symbol is not SRS</w:t>
      </w:r>
    </w:p>
    <w:p w:rsidR="00BD1EE3" w:rsidRDefault="00BD1EE3" w:rsidP="00BD1EE3">
      <w:pPr>
        <w:rPr>
          <w:sz w:val="24"/>
          <w:lang w:val="en-US"/>
        </w:rPr>
      </w:pPr>
      <w:r w:rsidRPr="004D62C5">
        <w:rPr>
          <w:sz w:val="24"/>
          <w:lang w:val="en-US"/>
        </w:rPr>
        <w:t xml:space="preserve">Transition period between </w:t>
      </w:r>
      <w:r>
        <w:rPr>
          <w:sz w:val="24"/>
          <w:lang w:val="en-US"/>
        </w:rPr>
        <w:t xml:space="preserve">two consecutive </w:t>
      </w:r>
      <w:r w:rsidRPr="004D62C5">
        <w:rPr>
          <w:sz w:val="24"/>
          <w:lang w:val="en-US"/>
        </w:rPr>
        <w:t>7os TTI</w:t>
      </w:r>
      <w:r>
        <w:rPr>
          <w:sz w:val="24"/>
          <w:lang w:val="en-US"/>
        </w:rPr>
        <w:t>s</w:t>
      </w:r>
      <w:r w:rsidRPr="004D62C5">
        <w:rPr>
          <w:sz w:val="24"/>
          <w:lang w:val="en-US"/>
        </w:rPr>
        <w:t xml:space="preserve"> </w:t>
      </w:r>
      <w:r>
        <w:rPr>
          <w:sz w:val="24"/>
          <w:lang w:val="en-US"/>
        </w:rPr>
        <w:t xml:space="preserve">when the last symbol of 7OS or 1msec TTI is not SRS is shown below. </w:t>
      </w:r>
      <w:r w:rsidR="008C0E92">
        <w:rPr>
          <w:sz w:val="24"/>
          <w:lang w:val="en-US"/>
        </w:rPr>
        <w:t>Similarly</w:t>
      </w:r>
      <w:r w:rsidR="00D26912">
        <w:rPr>
          <w:sz w:val="24"/>
          <w:lang w:val="en-US"/>
        </w:rPr>
        <w:t>,</w:t>
      </w:r>
      <w:r w:rsidR="008C0E92">
        <w:rPr>
          <w:sz w:val="24"/>
          <w:lang w:val="en-US"/>
        </w:rPr>
        <w:t xml:space="preserve"> the transient period between 7os TTI and 1msec TTI will be similar as well. </w:t>
      </w:r>
    </w:p>
    <w:p w:rsidR="00BD1EE3" w:rsidRPr="00BD1EE3" w:rsidRDefault="00BD1EE3" w:rsidP="00BD1EE3">
      <w:pPr>
        <w:rPr>
          <w:lang w:val="en-US"/>
        </w:rPr>
      </w:pPr>
    </w:p>
    <w:p w:rsidR="00676A2E" w:rsidRDefault="008D0EB7" w:rsidP="00667071">
      <w:pPr>
        <w:jc w:val="center"/>
      </w:pPr>
      <w:r>
        <w:object w:dxaOrig="13395" w:dyaOrig="2956">
          <v:shape id="_x0000_i1038" type="#_x0000_t75" style="width:480.6pt;height:105.6pt" o:ole="">
            <v:imagedata r:id="rId34" o:title=""/>
          </v:shape>
          <o:OLEObject Type="Embed" ProgID="Visio.Drawing.11" ShapeID="_x0000_i1038" DrawAspect="Content" ObjectID="_1569029808" r:id="rId35"/>
        </w:object>
      </w:r>
    </w:p>
    <w:p w:rsidR="00667071" w:rsidRDefault="007E1C63" w:rsidP="007E1C63">
      <w:pPr>
        <w:pStyle w:val="Heading3"/>
        <w:rPr>
          <w:lang w:val="en-US"/>
        </w:rPr>
      </w:pPr>
      <w:r>
        <w:rPr>
          <w:lang w:val="en-US"/>
        </w:rPr>
        <w:lastRenderedPageBreak/>
        <w:t xml:space="preserve">Between two 7os TTIs when the last symbol is SRS </w:t>
      </w:r>
    </w:p>
    <w:p w:rsidR="007E1C63" w:rsidRPr="007E1C63" w:rsidRDefault="002244A2" w:rsidP="007E1C63">
      <w:pPr>
        <w:rPr>
          <w:lang w:val="en-US"/>
        </w:rPr>
      </w:pPr>
      <w:r>
        <w:rPr>
          <w:lang w:val="en-US"/>
        </w:rPr>
        <w:t>Transient period should be placed outside of S</w:t>
      </w:r>
      <w:r w:rsidR="00DB4518">
        <w:rPr>
          <w:lang w:val="en-US"/>
        </w:rPr>
        <w:t xml:space="preserve">RS as shown below. </w:t>
      </w:r>
    </w:p>
    <w:p w:rsidR="007E1C63" w:rsidRDefault="007E1C63" w:rsidP="007E1C63">
      <w:r>
        <w:object w:dxaOrig="13395" w:dyaOrig="2956">
          <v:shape id="_x0000_i1039" type="#_x0000_t75" style="width:480.6pt;height:105.6pt" o:ole="">
            <v:imagedata r:id="rId36" o:title=""/>
          </v:shape>
          <o:OLEObject Type="Embed" ProgID="Visio.Drawing.11" ShapeID="_x0000_i1039" DrawAspect="Content" ObjectID="_1569029809" r:id="rId37"/>
        </w:object>
      </w:r>
    </w:p>
    <w:p w:rsidR="00A853DF" w:rsidRDefault="001E2612" w:rsidP="001E2612">
      <w:pPr>
        <w:pStyle w:val="Heading3"/>
      </w:pPr>
      <w:r>
        <w:t>Between 7os TTI and 1msec TTI when the last symbol is SRS</w:t>
      </w:r>
    </w:p>
    <w:p w:rsidR="001E2612" w:rsidRDefault="00EC0E6A" w:rsidP="001E2612">
      <w:r>
        <w:object w:dxaOrig="13395" w:dyaOrig="2946">
          <v:shape id="_x0000_i1040" type="#_x0000_t75" style="width:480.6pt;height:105.6pt" o:ole="">
            <v:imagedata r:id="rId38" o:title=""/>
          </v:shape>
          <o:OLEObject Type="Embed" ProgID="Visio.Drawing.11" ShapeID="_x0000_i1040" DrawAspect="Content" ObjectID="_1569029810" r:id="rId39"/>
        </w:object>
      </w:r>
    </w:p>
    <w:p w:rsidR="0001471D" w:rsidRPr="001E2612" w:rsidRDefault="0001471D" w:rsidP="001E2612">
      <w:r>
        <w:object w:dxaOrig="13395" w:dyaOrig="2946">
          <v:shape id="_x0000_i1041" type="#_x0000_t75" style="width:480.6pt;height:105.6pt" o:ole="">
            <v:imagedata r:id="rId40" o:title=""/>
          </v:shape>
          <o:OLEObject Type="Embed" ProgID="Visio.Drawing.11" ShapeID="_x0000_i1041" DrawAspect="Content" ObjectID="_1569029811" r:id="rId41"/>
        </w:object>
      </w:r>
    </w:p>
    <w:p w:rsidR="00A853DF" w:rsidRDefault="00A853DF" w:rsidP="007E1C63"/>
    <w:p w:rsidR="007E1C63" w:rsidRPr="007E1C63" w:rsidRDefault="007E1C63" w:rsidP="007E1C63">
      <w:pPr>
        <w:rPr>
          <w:lang w:val="en-US"/>
        </w:rPr>
      </w:pPr>
    </w:p>
    <w:p w:rsidR="002619C7" w:rsidRDefault="00BF6880" w:rsidP="00F22934">
      <w:pPr>
        <w:pStyle w:val="Heading1"/>
      </w:pPr>
      <w:r>
        <w:t>C</w:t>
      </w:r>
      <w:r w:rsidR="00C762BF">
        <w:t>onclusion</w:t>
      </w:r>
    </w:p>
    <w:p w:rsidR="00E140B2" w:rsidRDefault="002D45ED" w:rsidP="00372DA4">
      <w:r>
        <w:t xml:space="preserve">In this contribution, </w:t>
      </w:r>
      <w:r w:rsidR="00E140B2">
        <w:t>the agreements from the previous meetings</w:t>
      </w:r>
      <w:r w:rsidR="007112D0">
        <w:t xml:space="preserve"> [1,2]</w:t>
      </w:r>
      <w:r w:rsidR="00E140B2">
        <w:t xml:space="preserve">: </w:t>
      </w:r>
    </w:p>
    <w:p w:rsidR="00E140B2" w:rsidRPr="00860BA5" w:rsidRDefault="00E140B2" w:rsidP="00E140B2">
      <w:pPr>
        <w:rPr>
          <w:b/>
          <w:sz w:val="24"/>
          <w:szCs w:val="24"/>
          <w:lang w:val="en-US"/>
        </w:rPr>
      </w:pPr>
      <w:r>
        <w:rPr>
          <w:b/>
          <w:sz w:val="24"/>
          <w:szCs w:val="24"/>
          <w:lang w:val="en-US"/>
        </w:rPr>
        <w:t>Agreement 1 (for ON-OFF mask)</w:t>
      </w:r>
      <w:r w:rsidRPr="00860BA5">
        <w:rPr>
          <w:b/>
          <w:sz w:val="24"/>
          <w:szCs w:val="24"/>
          <w:lang w:val="en-US"/>
        </w:rPr>
        <w:t xml:space="preserve">:  </w:t>
      </w:r>
      <w:r>
        <w:rPr>
          <w:b/>
          <w:sz w:val="24"/>
          <w:szCs w:val="24"/>
          <w:lang w:val="en-US"/>
        </w:rPr>
        <w:t>For both 2os and 7os TTIs</w:t>
      </w:r>
    </w:p>
    <w:p w:rsidR="00E140B2" w:rsidRDefault="00D97660" w:rsidP="00E140B2">
      <w:pPr>
        <w:pStyle w:val="ListParagraph"/>
        <w:numPr>
          <w:ilvl w:val="0"/>
          <w:numId w:val="21"/>
        </w:numPr>
        <w:rPr>
          <w:sz w:val="24"/>
          <w:szCs w:val="24"/>
          <w:lang w:val="en-US"/>
        </w:rPr>
      </w:pPr>
      <w:r>
        <w:rPr>
          <w:sz w:val="24"/>
          <w:szCs w:val="24"/>
          <w:lang w:val="en-US"/>
        </w:rPr>
        <w:t>For Tx BW&gt;1.4 MHz, transient time</w:t>
      </w:r>
      <w:r w:rsidR="00E140B2" w:rsidRPr="000B5CA0">
        <w:rPr>
          <w:sz w:val="24"/>
          <w:szCs w:val="24"/>
          <w:lang w:val="en-US"/>
        </w:rPr>
        <w:t>=10 usec</w:t>
      </w:r>
    </w:p>
    <w:p w:rsidR="00E140B2" w:rsidRDefault="00E140B2" w:rsidP="00E140B2">
      <w:pPr>
        <w:pStyle w:val="ListParagraph"/>
        <w:numPr>
          <w:ilvl w:val="0"/>
          <w:numId w:val="21"/>
        </w:numPr>
        <w:rPr>
          <w:sz w:val="24"/>
          <w:szCs w:val="24"/>
          <w:lang w:val="en-US"/>
        </w:rPr>
      </w:pPr>
      <w:r>
        <w:rPr>
          <w:sz w:val="24"/>
          <w:szCs w:val="24"/>
          <w:lang w:val="en-US"/>
        </w:rPr>
        <w:t xml:space="preserve">For Tx BW=1.4 MHz, </w:t>
      </w:r>
      <w:r w:rsidR="00D97660">
        <w:rPr>
          <w:sz w:val="24"/>
          <w:szCs w:val="24"/>
          <w:lang w:val="en-US"/>
        </w:rPr>
        <w:t xml:space="preserve">transient time </w:t>
      </w:r>
      <w:r>
        <w:rPr>
          <w:sz w:val="24"/>
          <w:szCs w:val="24"/>
          <w:lang w:val="en-US"/>
        </w:rPr>
        <w:t>=20 usec</w:t>
      </w:r>
    </w:p>
    <w:p w:rsidR="00E140B2" w:rsidRPr="001A292D" w:rsidRDefault="002D45ED" w:rsidP="00E140B2">
      <w:pPr>
        <w:rPr>
          <w:lang w:val="en-US"/>
        </w:rPr>
      </w:pPr>
      <w:r w:rsidRPr="00E140B2">
        <w:rPr>
          <w:sz w:val="24"/>
        </w:rPr>
        <w:t xml:space="preserve"> </w:t>
      </w:r>
      <w:r w:rsidR="00E140B2" w:rsidRPr="00E140B2">
        <w:rPr>
          <w:b/>
          <w:sz w:val="24"/>
          <w:lang w:val="en-US"/>
        </w:rPr>
        <w:t>Agreement 2:</w:t>
      </w:r>
      <w:r w:rsidR="00E140B2" w:rsidRPr="00E140B2">
        <w:rPr>
          <w:sz w:val="24"/>
          <w:lang w:val="en-US"/>
        </w:rPr>
        <w:t xml:space="preserve">  </w:t>
      </w:r>
      <w:r w:rsidR="00E140B2">
        <w:rPr>
          <w:lang w:val="en-US"/>
        </w:rPr>
        <w:t xml:space="preserve">Transient periods for consecutive symbols for sTTI will be 10+10 usec. </w:t>
      </w:r>
    </w:p>
    <w:p w:rsidR="002D2C48" w:rsidRDefault="00505FA6" w:rsidP="00372DA4">
      <w:r>
        <w:t xml:space="preserve">Also, this paper lists </w:t>
      </w:r>
      <w:r w:rsidRPr="00083E8C">
        <w:rPr>
          <w:u w:val="single"/>
        </w:rPr>
        <w:t>the locations of the transient periods</w:t>
      </w:r>
      <w:r>
        <w:t xml:space="preserve"> for various scenarios have been proposed in </w:t>
      </w:r>
      <w:r w:rsidRPr="00A42016">
        <w:rPr>
          <w:b/>
        </w:rPr>
        <w:t>Table 2</w:t>
      </w:r>
      <w:r>
        <w:t>.</w:t>
      </w:r>
    </w:p>
    <w:p w:rsidR="00D62CD8" w:rsidRDefault="00D62CD8" w:rsidP="00D62CD8">
      <w:pPr>
        <w:pStyle w:val="Heading1"/>
        <w:jc w:val="both"/>
      </w:pPr>
      <w:r>
        <w:t>References</w:t>
      </w:r>
    </w:p>
    <w:p w:rsidR="00620DAA" w:rsidRDefault="00620DAA" w:rsidP="00620DAA">
      <w:r>
        <w:t xml:space="preserve">[1] </w:t>
      </w:r>
      <w:r w:rsidRPr="00620DAA">
        <w:rPr>
          <w:lang w:val="en-US"/>
        </w:rPr>
        <w:t>R4-1706098</w:t>
      </w:r>
      <w:r>
        <w:rPr>
          <w:lang w:val="en-US"/>
        </w:rPr>
        <w:t xml:space="preserve">, </w:t>
      </w:r>
      <w:r w:rsidRPr="00620DAA">
        <w:rPr>
          <w:lang w:val="en-US"/>
        </w:rPr>
        <w:t>Transient time for sTTI</w:t>
      </w:r>
      <w:r>
        <w:rPr>
          <w:lang w:val="en-US"/>
        </w:rPr>
        <w:t xml:space="preserve">, </w:t>
      </w:r>
      <w:r w:rsidRPr="00620DAA">
        <w:t>3GPP TSG-RAN WG4 Meeting #83</w:t>
      </w:r>
    </w:p>
    <w:p w:rsidR="003717A0" w:rsidRPr="003717A0" w:rsidRDefault="008E1410" w:rsidP="003717A0">
      <w:r>
        <w:t>[2] LTE RF Chairman notes for 3GPP TSG-RAN WG4 Meeting #84</w:t>
      </w:r>
    </w:p>
    <w:sectPr w:rsidR="003717A0" w:rsidRPr="003717A0" w:rsidSect="007D2899">
      <w:footerReference w:type="even" r:id="rId42"/>
      <w:footerReference w:type="default" r:id="rId4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574D" w:rsidRDefault="0086574D">
      <w:r>
        <w:separator/>
      </w:r>
    </w:p>
  </w:endnote>
  <w:endnote w:type="continuationSeparator" w:id="0">
    <w:p w:rsidR="0086574D" w:rsidRDefault="00865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3298E">
      <w:rPr>
        <w:rStyle w:val="PageNumber"/>
      </w:rPr>
      <w:t>3</w:t>
    </w:r>
    <w:r>
      <w:rPr>
        <w:rStyle w:val="PageNumber"/>
      </w:rPr>
      <w:fldChar w:fldCharType="end"/>
    </w:r>
  </w:p>
  <w:p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574D" w:rsidRDefault="0086574D">
      <w:r>
        <w:separator/>
      </w:r>
    </w:p>
  </w:footnote>
  <w:footnote w:type="continuationSeparator" w:id="0">
    <w:p w:rsidR="0086574D" w:rsidRDefault="008657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86608C1"/>
    <w:multiLevelType w:val="hybridMultilevel"/>
    <w:tmpl w:val="077C5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4"/>
  </w:num>
  <w:num w:numId="3">
    <w:abstractNumId w:val="16"/>
  </w:num>
  <w:num w:numId="4">
    <w:abstractNumId w:val="18"/>
  </w:num>
  <w:num w:numId="5">
    <w:abstractNumId w:val="12"/>
  </w:num>
  <w:num w:numId="6">
    <w:abstractNumId w:val="7"/>
  </w:num>
  <w:num w:numId="7">
    <w:abstractNumId w:val="1"/>
  </w:num>
  <w:num w:numId="8">
    <w:abstractNumId w:val="15"/>
  </w:num>
  <w:num w:numId="9">
    <w:abstractNumId w:val="8"/>
  </w:num>
  <w:num w:numId="10">
    <w:abstractNumId w:val="11"/>
  </w:num>
  <w:num w:numId="11">
    <w:abstractNumId w:val="19"/>
  </w:num>
  <w:num w:numId="12">
    <w:abstractNumId w:val="17"/>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6"/>
  </w:num>
  <w:num w:numId="19">
    <w:abstractNumId w:val="9"/>
  </w:num>
  <w:num w:numId="20">
    <w:abstractNumId w:val="13"/>
  </w:num>
  <w:num w:numId="21">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71D"/>
    <w:rsid w:val="00014FFF"/>
    <w:rsid w:val="000162FA"/>
    <w:rsid w:val="000167F5"/>
    <w:rsid w:val="00016A3A"/>
    <w:rsid w:val="0001723C"/>
    <w:rsid w:val="00017A58"/>
    <w:rsid w:val="00017CD3"/>
    <w:rsid w:val="00017D7B"/>
    <w:rsid w:val="00020464"/>
    <w:rsid w:val="00020690"/>
    <w:rsid w:val="000207B6"/>
    <w:rsid w:val="00020A20"/>
    <w:rsid w:val="00021556"/>
    <w:rsid w:val="00021764"/>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7E1"/>
    <w:rsid w:val="00055B21"/>
    <w:rsid w:val="000562FA"/>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1CBD"/>
    <w:rsid w:val="000724BF"/>
    <w:rsid w:val="000737DA"/>
    <w:rsid w:val="000753CE"/>
    <w:rsid w:val="0007555F"/>
    <w:rsid w:val="00076DB9"/>
    <w:rsid w:val="00077FE0"/>
    <w:rsid w:val="00081B6C"/>
    <w:rsid w:val="00082CE8"/>
    <w:rsid w:val="00083CBE"/>
    <w:rsid w:val="00083E8C"/>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2320"/>
    <w:rsid w:val="00102563"/>
    <w:rsid w:val="00103CC7"/>
    <w:rsid w:val="00104258"/>
    <w:rsid w:val="00104417"/>
    <w:rsid w:val="00104B7E"/>
    <w:rsid w:val="00106117"/>
    <w:rsid w:val="00106E80"/>
    <w:rsid w:val="001072D7"/>
    <w:rsid w:val="00107B29"/>
    <w:rsid w:val="00112756"/>
    <w:rsid w:val="00112A1A"/>
    <w:rsid w:val="001135F5"/>
    <w:rsid w:val="00113626"/>
    <w:rsid w:val="00113700"/>
    <w:rsid w:val="0011401A"/>
    <w:rsid w:val="00115243"/>
    <w:rsid w:val="00115E1D"/>
    <w:rsid w:val="00116046"/>
    <w:rsid w:val="001169B3"/>
    <w:rsid w:val="00116F74"/>
    <w:rsid w:val="001176B7"/>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457"/>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760F"/>
    <w:rsid w:val="001600D4"/>
    <w:rsid w:val="0016046E"/>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4FBD"/>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292D"/>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615D"/>
    <w:rsid w:val="001D6E97"/>
    <w:rsid w:val="001D791E"/>
    <w:rsid w:val="001D7BA7"/>
    <w:rsid w:val="001E1023"/>
    <w:rsid w:val="001E1C0D"/>
    <w:rsid w:val="001E2612"/>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4A2"/>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7B2B"/>
    <w:rsid w:val="002C7C8C"/>
    <w:rsid w:val="002D087B"/>
    <w:rsid w:val="002D0BCE"/>
    <w:rsid w:val="002D0C99"/>
    <w:rsid w:val="002D10C9"/>
    <w:rsid w:val="002D175B"/>
    <w:rsid w:val="002D2365"/>
    <w:rsid w:val="002D282D"/>
    <w:rsid w:val="002D2C48"/>
    <w:rsid w:val="002D45ED"/>
    <w:rsid w:val="002D4919"/>
    <w:rsid w:val="002D499F"/>
    <w:rsid w:val="002D4A80"/>
    <w:rsid w:val="002D5209"/>
    <w:rsid w:val="002D5562"/>
    <w:rsid w:val="002D5832"/>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51E"/>
    <w:rsid w:val="00312EF8"/>
    <w:rsid w:val="003146B2"/>
    <w:rsid w:val="00314DB7"/>
    <w:rsid w:val="00315017"/>
    <w:rsid w:val="0031524C"/>
    <w:rsid w:val="00315756"/>
    <w:rsid w:val="00316A23"/>
    <w:rsid w:val="0031703E"/>
    <w:rsid w:val="00320459"/>
    <w:rsid w:val="00320B8A"/>
    <w:rsid w:val="0032202F"/>
    <w:rsid w:val="00322EBD"/>
    <w:rsid w:val="003230D2"/>
    <w:rsid w:val="00323460"/>
    <w:rsid w:val="00323F04"/>
    <w:rsid w:val="00324937"/>
    <w:rsid w:val="00325C68"/>
    <w:rsid w:val="00325D20"/>
    <w:rsid w:val="00326129"/>
    <w:rsid w:val="003267B9"/>
    <w:rsid w:val="00327B03"/>
    <w:rsid w:val="00327EF9"/>
    <w:rsid w:val="00327FCD"/>
    <w:rsid w:val="00330243"/>
    <w:rsid w:val="003317B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67FA2"/>
    <w:rsid w:val="00370CDE"/>
    <w:rsid w:val="003710AC"/>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444"/>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826"/>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F6"/>
    <w:rsid w:val="0048493E"/>
    <w:rsid w:val="0048495E"/>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EAB"/>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3949"/>
    <w:rsid w:val="004E3C4D"/>
    <w:rsid w:val="004E4029"/>
    <w:rsid w:val="004E49C5"/>
    <w:rsid w:val="004E4CC0"/>
    <w:rsid w:val="004E5AFE"/>
    <w:rsid w:val="004E5B05"/>
    <w:rsid w:val="004E5CB3"/>
    <w:rsid w:val="004E5F79"/>
    <w:rsid w:val="004E6967"/>
    <w:rsid w:val="004E7064"/>
    <w:rsid w:val="004E7277"/>
    <w:rsid w:val="004E78C8"/>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386"/>
    <w:rsid w:val="00505EBD"/>
    <w:rsid w:val="00505FA6"/>
    <w:rsid w:val="005068E4"/>
    <w:rsid w:val="00506CAE"/>
    <w:rsid w:val="005072D5"/>
    <w:rsid w:val="00507514"/>
    <w:rsid w:val="00507781"/>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98E"/>
    <w:rsid w:val="00532FEC"/>
    <w:rsid w:val="005331CE"/>
    <w:rsid w:val="005340DE"/>
    <w:rsid w:val="005342A2"/>
    <w:rsid w:val="00534C5F"/>
    <w:rsid w:val="0053509D"/>
    <w:rsid w:val="00535E13"/>
    <w:rsid w:val="0053650A"/>
    <w:rsid w:val="00536833"/>
    <w:rsid w:val="00537F2E"/>
    <w:rsid w:val="0054008E"/>
    <w:rsid w:val="00540AD9"/>
    <w:rsid w:val="00540F0E"/>
    <w:rsid w:val="00543144"/>
    <w:rsid w:val="00543E5A"/>
    <w:rsid w:val="00544F7A"/>
    <w:rsid w:val="00545421"/>
    <w:rsid w:val="00547B0A"/>
    <w:rsid w:val="00550CA9"/>
    <w:rsid w:val="00551763"/>
    <w:rsid w:val="00551FCA"/>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460A"/>
    <w:rsid w:val="00574A4E"/>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22B4"/>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717C"/>
    <w:rsid w:val="005D7204"/>
    <w:rsid w:val="005D7C23"/>
    <w:rsid w:val="005D7E7B"/>
    <w:rsid w:val="005E02FB"/>
    <w:rsid w:val="005E05A6"/>
    <w:rsid w:val="005E19B4"/>
    <w:rsid w:val="005E1EE7"/>
    <w:rsid w:val="005E2BEB"/>
    <w:rsid w:val="005E3C68"/>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70F"/>
    <w:rsid w:val="006178BC"/>
    <w:rsid w:val="006205C1"/>
    <w:rsid w:val="00620769"/>
    <w:rsid w:val="00620D81"/>
    <w:rsid w:val="00620DAA"/>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071"/>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6A2E"/>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3AF3"/>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2D0"/>
    <w:rsid w:val="007113BE"/>
    <w:rsid w:val="0071157E"/>
    <w:rsid w:val="00711F11"/>
    <w:rsid w:val="00711FCE"/>
    <w:rsid w:val="00712107"/>
    <w:rsid w:val="00712B56"/>
    <w:rsid w:val="00712B7E"/>
    <w:rsid w:val="00712CB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0B8A"/>
    <w:rsid w:val="00731C7D"/>
    <w:rsid w:val="00731D02"/>
    <w:rsid w:val="00732763"/>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275"/>
    <w:rsid w:val="007E1C63"/>
    <w:rsid w:val="007E211F"/>
    <w:rsid w:val="007E2178"/>
    <w:rsid w:val="007E32D9"/>
    <w:rsid w:val="007E3565"/>
    <w:rsid w:val="007E4F73"/>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79F6"/>
    <w:rsid w:val="00827F68"/>
    <w:rsid w:val="008310D9"/>
    <w:rsid w:val="008318A3"/>
    <w:rsid w:val="00831A3E"/>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5319"/>
    <w:rsid w:val="008562A0"/>
    <w:rsid w:val="00856531"/>
    <w:rsid w:val="0085660A"/>
    <w:rsid w:val="00856FF7"/>
    <w:rsid w:val="0085743F"/>
    <w:rsid w:val="0085775F"/>
    <w:rsid w:val="00857AA3"/>
    <w:rsid w:val="00857D43"/>
    <w:rsid w:val="00861728"/>
    <w:rsid w:val="00861DD3"/>
    <w:rsid w:val="00862075"/>
    <w:rsid w:val="008632C0"/>
    <w:rsid w:val="008654F7"/>
    <w:rsid w:val="0086574D"/>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0E92"/>
    <w:rsid w:val="008C10DA"/>
    <w:rsid w:val="008C23A2"/>
    <w:rsid w:val="008C333F"/>
    <w:rsid w:val="008C3ACC"/>
    <w:rsid w:val="008C5B9A"/>
    <w:rsid w:val="008C7629"/>
    <w:rsid w:val="008C7F01"/>
    <w:rsid w:val="008D05D9"/>
    <w:rsid w:val="008D0DFF"/>
    <w:rsid w:val="008D0EB7"/>
    <w:rsid w:val="008D207A"/>
    <w:rsid w:val="008D23C6"/>
    <w:rsid w:val="008D3567"/>
    <w:rsid w:val="008D3952"/>
    <w:rsid w:val="008D3AAB"/>
    <w:rsid w:val="008D3F73"/>
    <w:rsid w:val="008D59F7"/>
    <w:rsid w:val="008D5A2D"/>
    <w:rsid w:val="008D624E"/>
    <w:rsid w:val="008D7109"/>
    <w:rsid w:val="008D73CB"/>
    <w:rsid w:val="008E0739"/>
    <w:rsid w:val="008E1130"/>
    <w:rsid w:val="008E1410"/>
    <w:rsid w:val="008E2080"/>
    <w:rsid w:val="008E25C7"/>
    <w:rsid w:val="008E2C29"/>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8F71F6"/>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7AF"/>
    <w:rsid w:val="00A02815"/>
    <w:rsid w:val="00A0365B"/>
    <w:rsid w:val="00A038E7"/>
    <w:rsid w:val="00A04AB4"/>
    <w:rsid w:val="00A061EC"/>
    <w:rsid w:val="00A0685D"/>
    <w:rsid w:val="00A0728D"/>
    <w:rsid w:val="00A07360"/>
    <w:rsid w:val="00A10664"/>
    <w:rsid w:val="00A10771"/>
    <w:rsid w:val="00A10D63"/>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016"/>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53DF"/>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951"/>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18BA"/>
    <w:rsid w:val="00AD2DF4"/>
    <w:rsid w:val="00AD3125"/>
    <w:rsid w:val="00AD3602"/>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608"/>
    <w:rsid w:val="00AF7A7E"/>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6CF3"/>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ECA"/>
    <w:rsid w:val="00B2257C"/>
    <w:rsid w:val="00B2267D"/>
    <w:rsid w:val="00B22E28"/>
    <w:rsid w:val="00B23059"/>
    <w:rsid w:val="00B236A8"/>
    <w:rsid w:val="00B23BFE"/>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4D32"/>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2FC0"/>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E9B"/>
    <w:rsid w:val="00BD1EE3"/>
    <w:rsid w:val="00BD33E3"/>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4772"/>
    <w:rsid w:val="00C747CA"/>
    <w:rsid w:val="00C74B29"/>
    <w:rsid w:val="00C75625"/>
    <w:rsid w:val="00C757C6"/>
    <w:rsid w:val="00C75A09"/>
    <w:rsid w:val="00C75B10"/>
    <w:rsid w:val="00C75DA2"/>
    <w:rsid w:val="00C762BF"/>
    <w:rsid w:val="00C76A00"/>
    <w:rsid w:val="00C81037"/>
    <w:rsid w:val="00C82D0D"/>
    <w:rsid w:val="00C83224"/>
    <w:rsid w:val="00C83527"/>
    <w:rsid w:val="00C843D8"/>
    <w:rsid w:val="00C847DC"/>
    <w:rsid w:val="00C85ED1"/>
    <w:rsid w:val="00C86592"/>
    <w:rsid w:val="00C86F09"/>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6912"/>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DC5"/>
    <w:rsid w:val="00D37310"/>
    <w:rsid w:val="00D37F2B"/>
    <w:rsid w:val="00D400A9"/>
    <w:rsid w:val="00D417D7"/>
    <w:rsid w:val="00D41FE0"/>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97660"/>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4518"/>
    <w:rsid w:val="00DB50B1"/>
    <w:rsid w:val="00DB5D67"/>
    <w:rsid w:val="00DB5FC0"/>
    <w:rsid w:val="00DB6647"/>
    <w:rsid w:val="00DB66CE"/>
    <w:rsid w:val="00DB741D"/>
    <w:rsid w:val="00DC0381"/>
    <w:rsid w:val="00DC038A"/>
    <w:rsid w:val="00DC09BB"/>
    <w:rsid w:val="00DC0C19"/>
    <w:rsid w:val="00DC14B7"/>
    <w:rsid w:val="00DC1E35"/>
    <w:rsid w:val="00DC2307"/>
    <w:rsid w:val="00DC298B"/>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698"/>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0B2"/>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23DD"/>
    <w:rsid w:val="00E4357B"/>
    <w:rsid w:val="00E43707"/>
    <w:rsid w:val="00E44342"/>
    <w:rsid w:val="00E4441F"/>
    <w:rsid w:val="00E44674"/>
    <w:rsid w:val="00E44EE4"/>
    <w:rsid w:val="00E4542B"/>
    <w:rsid w:val="00E46847"/>
    <w:rsid w:val="00E50C8F"/>
    <w:rsid w:val="00E50CF3"/>
    <w:rsid w:val="00E517C8"/>
    <w:rsid w:val="00E51893"/>
    <w:rsid w:val="00E53C5E"/>
    <w:rsid w:val="00E5448C"/>
    <w:rsid w:val="00E5470D"/>
    <w:rsid w:val="00E56FFF"/>
    <w:rsid w:val="00E57F7A"/>
    <w:rsid w:val="00E602B8"/>
    <w:rsid w:val="00E60645"/>
    <w:rsid w:val="00E60952"/>
    <w:rsid w:val="00E60B7A"/>
    <w:rsid w:val="00E614EE"/>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8C5"/>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69D"/>
    <w:rsid w:val="00EB0083"/>
    <w:rsid w:val="00EB073A"/>
    <w:rsid w:val="00EB1B3C"/>
    <w:rsid w:val="00EB21F4"/>
    <w:rsid w:val="00EB33EC"/>
    <w:rsid w:val="00EB3778"/>
    <w:rsid w:val="00EB3C09"/>
    <w:rsid w:val="00EB420B"/>
    <w:rsid w:val="00EB43BD"/>
    <w:rsid w:val="00EB5C05"/>
    <w:rsid w:val="00EB668F"/>
    <w:rsid w:val="00EB6EEC"/>
    <w:rsid w:val="00EB793A"/>
    <w:rsid w:val="00EC0C2B"/>
    <w:rsid w:val="00EC0E6A"/>
    <w:rsid w:val="00EC1777"/>
    <w:rsid w:val="00EC2383"/>
    <w:rsid w:val="00EC2B78"/>
    <w:rsid w:val="00EC3E19"/>
    <w:rsid w:val="00EC4B14"/>
    <w:rsid w:val="00EC5024"/>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77E3"/>
    <w:rsid w:val="00F17EA6"/>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4096"/>
    <w:rsid w:val="00FB6560"/>
    <w:rsid w:val="00FB6CE4"/>
    <w:rsid w:val="00FB7248"/>
    <w:rsid w:val="00FB75B5"/>
    <w:rsid w:val="00FB7ABD"/>
    <w:rsid w:val="00FB7E90"/>
    <w:rsid w:val="00FC069F"/>
    <w:rsid w:val="00FC0CE3"/>
    <w:rsid w:val="00FC13BC"/>
    <w:rsid w:val="00FC1614"/>
    <w:rsid w:val="00FC1696"/>
    <w:rsid w:val="00FC2B1E"/>
    <w:rsid w:val="00FC3A96"/>
    <w:rsid w:val="00FC502D"/>
    <w:rsid w:val="00FC5AA5"/>
    <w:rsid w:val="00FC62FA"/>
    <w:rsid w:val="00FC6354"/>
    <w:rsid w:val="00FC6995"/>
    <w:rsid w:val="00FD0282"/>
    <w:rsid w:val="00FD069B"/>
    <w:rsid w:val="00FD09D0"/>
    <w:rsid w:val="00FD0AAD"/>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9C5"/>
    <w:rsid w:val="00FE79E2"/>
    <w:rsid w:val="00FF00DC"/>
    <w:rsid w:val="00FF0DAF"/>
    <w:rsid w:val="00FF0DE5"/>
    <w:rsid w:val="00FF2609"/>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90824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39684692">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29903389">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1354589">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emf"/><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5.bin"/><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oleObject" Target="embeddings/oleObject14.bin"/><Relationship Id="rId43"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B307E-9324-4F99-8E0D-B7C5E2476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7</Pages>
  <Words>703</Words>
  <Characters>4010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Viet Nguyen</cp:lastModifiedBy>
  <cp:revision>2</cp:revision>
  <cp:lastPrinted>2016-03-25T21:53:00Z</cp:lastPrinted>
  <dcterms:created xsi:type="dcterms:W3CDTF">2017-10-09T08:50:00Z</dcterms:created>
  <dcterms:modified xsi:type="dcterms:W3CDTF">2017-10-09T08:50:00Z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